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F9" w:rsidRPr="008319F5" w:rsidRDefault="009B01F9" w:rsidP="002102A4">
      <w:pPr>
        <w:tabs>
          <w:tab w:val="left" w:pos="351"/>
        </w:tabs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Anexo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0" w:name="h.3dy6vkm"/>
      <w:bookmarkEnd w:id="0"/>
      <w:r w:rsidR="00932F9B">
        <w:rPr>
          <w:rFonts w:ascii="Arial" w:hAnsi="Arial" w:cs="Arial"/>
          <w:b/>
          <w:sz w:val="18"/>
          <w:szCs w:val="18"/>
        </w:rPr>
        <w:t>2</w:t>
      </w:r>
      <w:r w:rsidR="002102A4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Tabla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932F9B">
        <w:rPr>
          <w:rFonts w:ascii="Arial" w:hAnsi="Arial" w:cs="Arial"/>
          <w:b/>
          <w:sz w:val="18"/>
          <w:szCs w:val="18"/>
        </w:rPr>
        <w:t xml:space="preserve"> </w:t>
      </w:r>
      <w:bookmarkStart w:id="1" w:name="_GoBack"/>
      <w:bookmarkEnd w:id="1"/>
      <w:r w:rsidR="00932F9B">
        <w:rPr>
          <w:rFonts w:ascii="Arial" w:hAnsi="Arial" w:cs="Arial"/>
          <w:b/>
          <w:sz w:val="18"/>
          <w:szCs w:val="18"/>
        </w:rPr>
        <w:t>Ob</w:t>
      </w:r>
      <w:r w:rsidR="00932F9B" w:rsidRPr="00932F9B">
        <w:rPr>
          <w:rFonts w:ascii="Arial" w:hAnsi="Arial" w:cs="Arial"/>
          <w:b/>
          <w:sz w:val="18"/>
          <w:szCs w:val="18"/>
        </w:rPr>
        <w:t>ligaciones comunes todos los sujetos obligados</w:t>
      </w:r>
    </w:p>
    <w:tbl>
      <w:tblPr>
        <w:tblW w:w="10701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49"/>
        <w:gridCol w:w="2225"/>
        <w:gridCol w:w="1666"/>
        <w:gridCol w:w="3119"/>
        <w:gridCol w:w="1842"/>
      </w:tblGrid>
      <w:tr w:rsidR="009B01F9" w:rsidRPr="002102A4" w:rsidTr="002102A4">
        <w:trPr>
          <w:trHeight w:val="20"/>
          <w:tblHeader/>
        </w:trPr>
        <w:tc>
          <w:tcPr>
            <w:tcW w:w="1849" w:type="dxa"/>
            <w:shd w:val="clear" w:color="auto" w:fill="BFBFBF"/>
            <w:noWrap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225" w:type="dxa"/>
            <w:shd w:val="clear" w:color="auto" w:fill="BFBFBF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666" w:type="dxa"/>
            <w:shd w:val="clear" w:color="auto" w:fill="BFBFBF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sz w:val="16"/>
                <w:szCs w:val="18"/>
              </w:rPr>
              <w:t>Periodo de actualización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sz w:val="16"/>
                <w:szCs w:val="18"/>
              </w:rPr>
              <w:t>Observaciones acerca de la información a publicar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sz w:val="16"/>
                <w:szCs w:val="18"/>
              </w:rPr>
              <w:t>Periodo de Conservación de la información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i/>
                <w:sz w:val="16"/>
                <w:szCs w:val="18"/>
              </w:rPr>
              <w:t>Artículo 70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 xml:space="preserve">Trimestral 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Cuando se decrete, reforme, adicione, derogue o abrogue cualquier norma aplicable al sujeto obligado. La información deberá publicarse y/o actualizarse en un plazo no mayor a 15 días hábiles a partir de su publicación en el Diario Oficial de la Federación (DOF), periódico o Gaceta oficial, o de su acuerdo de aprobación en el caso de normas publicadas por medios distintos como el sitio de Internet.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En su caso, 15 días hábiles después de la aprobación de alguna modificación a la estructura orgánica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facultades de cada Área;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 xml:space="preserve">En su caso, 15 días hábiles después de alguna modificación 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IV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metas y objetivos de las Áreas de conformidad con sus programas operativos;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la correspondiente a los últimos seis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indicadores relacionados con temas de interés público o trascendencia social que conforme a sus funciones, deban establecer;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los últimos seis ejercicios anteriores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VI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indicadores que permitan rendir cuenta de sus objetivos y resultados;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los seis ejercicios anteriores, en su caso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VII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El directorio de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lastRenderedPageBreak/>
              <w:t>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VIII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IX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gastos de representación y viáticos, así como el objeto e informe de comisión correspondiente;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El domicilio de la Unidad de Transparencia, además de la dirección electrónica donde podrán recibirse las solicitudes para obtener la información;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En su caso 15 días hábiles después de alguna modificación.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XIV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convocatorias a concursos para ocupar cargos públicos y los resultados de los mismos;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 y/o cuando exista alguna convocatoria a cursos para ocupar cargos públicos.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 y del ejercicio en curso.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 información de los programas de subsidios, estímulos y apoyos, en el que se deberá informar respecto de los programas de transferencia, de servicios, de infraestructura social y de subsidio, en los que se deberá contener lo siguiente:...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La información de los programas que se desarrollarán a lo largo del ejercicio deberá publicarse durante el primer mes del año.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los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XVI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Cuando se establezca, modifique o derogue cualquier norma laboral aplicable al sujeto obligado. La información normativa deberá o actualizarse en un plazo no mayor a 15 días hábiles a partir de su publicación y/o aprobación.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En cuanto a la normatividad: la información vigente. Respecto a los recursos entregados a sindicatos: información del ejercicio en curso y la correspondiente a los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XVII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 xml:space="preserve">En su caso, 15 días hábiles después de alguna modificación. 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1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curso. En el caso de las sanciones, conservar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XVIII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,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 70</w:t>
            </w:r>
          </w:p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XIX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servicios que ofrecen señalando los requisitos para acceder a ellos;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</w:t>
            </w:r>
          </w:p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trámites, requisitos y formatos que ofrecen;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 excepción de los informes y documentos de naturaleza anual y otros que por virtud de esta Ley o disposición legal aplicable tengan un plazo y periodicidad determinada.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seis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 información relativa a la deuda pública, en términos de la normatividad aplicable;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Con datos mensuales.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Anual, respecto al Programa de Comunicación social o equivalente.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XXIV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generada en el ejercicio en curso y la correspondiente a las auditorías realizadas en los tres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El resultado de la dictaminación de los estados financieros;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correspondiente a los últimos tres ejercicios concluidos.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XXVI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lastRenderedPageBreak/>
              <w:t>entreguen sobre el uso y destino de dichos recursos;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5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XXVII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XXVIII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</w:t>
            </w: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vigente; la generada en 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XXIX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informes que por disposición legal generen los sujetos obligados;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estadísticas que generen en cumplimiento de sus facultades, competencias o funciones con la mayor desagregación posible;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generada en el ejercicio en curso y la correspondiente a los últimos seis ejercicios.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Informe de avances programáticos o presupuestales, balances generales y su estado financiero;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 más tardar 30 días hábiles después del cierre del periodo que corresponda.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los últimos seis ejercicios.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Padrón de proveedores y contratistas;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convenios de coordinación de concertación con los sectores social y privado;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1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 xml:space="preserve">Información del ejercicio en curso y la correspondiente al ejercicio inmediato anterior y los instrumentos jurídicos vigentes aun cuando </w:t>
            </w:r>
            <w:r w:rsidRPr="002102A4">
              <w:rPr>
                <w:rFonts w:ascii="Arial" w:hAnsi="Arial" w:cs="Arial"/>
                <w:sz w:val="16"/>
                <w:szCs w:val="18"/>
              </w:rPr>
              <w:lastRenderedPageBreak/>
              <w:t>éstos sean de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XXXIV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El inventario de bienes muebles e inmuebles en posesión y propiedad;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 xml:space="preserve">En su caso, 30 días hábiles después de adquirir algún bien. 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 y la correspondiente al semestre inmediato anterior concluido.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generada en el ejercicio en curso a partir de la notificación de la recomendación y/o sentencia. Una vez concluido el seguimiento de la recomendación y/o sentencia conservar la información durante dos ejercicios.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XXXVI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ejercicios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XXXVII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mecanismos de participación ciudadana;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XXXVIII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La información de los programas que se desarrollarán a lo largo del ejercicio deberá publicarse durante el primer mes del año.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los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XXXIX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actas y resoluciones del Comité de Transparencia de los sujetos obligados;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al ejercicio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Todas las evaluaciones y encuestas que hagan los sujetos obligados a programas financiados con recursos públicos;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generada en el ejercicio en curso y la correspondiente al ejercicio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estudios financiados con recursos públicos;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En su caso, 30 días hábiles después de publicar los resultados del estudio.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del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El listado de jubilados y pensionados y el monto que reciben;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 xml:space="preserve">Información del ejercicio en curso y la correspondiente al ejercicio inmediato </w:t>
            </w:r>
            <w:r w:rsidRPr="002102A4">
              <w:rPr>
                <w:rFonts w:ascii="Arial" w:hAnsi="Arial" w:cs="Arial"/>
                <w:sz w:val="16"/>
                <w:szCs w:val="18"/>
              </w:rPr>
              <w:lastRenderedPageBreak/>
              <w:t>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XLIII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XLIV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Donaciones hechas a terceros en dinero o en especie;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 xml:space="preserve">Información que se genere en el ejercicio en curso y la que se genere en el ejercicio inmediato anterior. 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XLV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El catálogo de disposición y guía de archivo documental;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XLVI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Las actas de sesiones ordinarias y extraordinarias, así como las opiniones y recomendaciones que emitan, en su caso, los consejos consultivos;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que se genere en el ejercicio en curso y la correspondiente al ejercicio inmediato anterior.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Fracción XLVII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 xml:space="preserve">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que se genere en el ejercicio en curso y la correspondiente a dos ejercicios anteriores.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>Artículo 70  …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XLVIII </w:t>
            </w:r>
            <w:r w:rsidRPr="002102A4">
              <w:rPr>
                <w:rFonts w:ascii="Arial" w:hAnsi="Arial" w:cs="Arial"/>
                <w:i/>
                <w:sz w:val="16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9B01F9" w:rsidRPr="002102A4" w:rsidTr="002102A4">
        <w:trPr>
          <w:trHeight w:val="20"/>
        </w:trPr>
        <w:tc>
          <w:tcPr>
            <w:tcW w:w="184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102A4">
              <w:rPr>
                <w:rFonts w:ascii="Arial" w:hAnsi="Arial" w:cs="Arial"/>
                <w:b/>
                <w:sz w:val="16"/>
                <w:szCs w:val="18"/>
              </w:rPr>
              <w:t>Último párrafo del  Artículo 70</w:t>
            </w:r>
          </w:p>
        </w:tc>
        <w:tc>
          <w:tcPr>
            <w:tcW w:w="2225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102A4">
              <w:rPr>
                <w:rFonts w:ascii="Arial" w:hAnsi="Arial" w:cs="Arial"/>
                <w:i/>
                <w:sz w:val="16"/>
                <w:szCs w:val="18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666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3119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842" w:type="dxa"/>
            <w:vAlign w:val="center"/>
          </w:tcPr>
          <w:p w:rsidR="009B01F9" w:rsidRPr="002102A4" w:rsidRDefault="009B01F9" w:rsidP="008F09B2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102A4">
              <w:rPr>
                <w:rFonts w:ascii="Arial" w:hAnsi="Arial" w:cs="Arial"/>
                <w:sz w:val="16"/>
                <w:szCs w:val="18"/>
              </w:rPr>
              <w:t>Información vigente y la generada en el ejercicio en curso.</w:t>
            </w:r>
          </w:p>
        </w:tc>
      </w:tr>
    </w:tbl>
    <w:p w:rsidR="005D0C5E" w:rsidRPr="009B01F9" w:rsidRDefault="005D0C5E" w:rsidP="005D0C5E">
      <w:pPr>
        <w:pStyle w:val="texto0"/>
        <w:spacing w:after="0"/>
        <w:rPr>
          <w:lang w:val="es-ES"/>
        </w:rPr>
      </w:pPr>
    </w:p>
    <w:sectPr w:rsidR="005D0C5E" w:rsidRPr="009B01F9" w:rsidSect="002102A4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30" w:rsidRDefault="00FB1930">
      <w:r>
        <w:separator/>
      </w:r>
    </w:p>
  </w:endnote>
  <w:endnote w:type="continuationSeparator" w:id="0">
    <w:p w:rsidR="00FB1930" w:rsidRDefault="00FB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30" w:rsidRDefault="00FB1930">
      <w:r>
        <w:separator/>
      </w:r>
    </w:p>
  </w:footnote>
  <w:footnote w:type="continuationSeparator" w:id="0">
    <w:p w:rsidR="00FB1930" w:rsidRDefault="00FB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43A3"/>
    <w:rsid w:val="000659BA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07E"/>
    <w:rsid w:val="000C50D4"/>
    <w:rsid w:val="000C632A"/>
    <w:rsid w:val="000E6BF1"/>
    <w:rsid w:val="000F0FA3"/>
    <w:rsid w:val="000F3ABE"/>
    <w:rsid w:val="000F4795"/>
    <w:rsid w:val="000F706A"/>
    <w:rsid w:val="0010703B"/>
    <w:rsid w:val="001303A7"/>
    <w:rsid w:val="00131F5A"/>
    <w:rsid w:val="00140A5C"/>
    <w:rsid w:val="00155A7E"/>
    <w:rsid w:val="001574EC"/>
    <w:rsid w:val="00163AE3"/>
    <w:rsid w:val="001642EF"/>
    <w:rsid w:val="001673EA"/>
    <w:rsid w:val="00173E9D"/>
    <w:rsid w:val="001748E8"/>
    <w:rsid w:val="00176B02"/>
    <w:rsid w:val="00181964"/>
    <w:rsid w:val="00195422"/>
    <w:rsid w:val="001A1CAD"/>
    <w:rsid w:val="001A2BCE"/>
    <w:rsid w:val="001B1144"/>
    <w:rsid w:val="001B6981"/>
    <w:rsid w:val="001C1DC9"/>
    <w:rsid w:val="001C6004"/>
    <w:rsid w:val="001E6CB1"/>
    <w:rsid w:val="001F09BB"/>
    <w:rsid w:val="001F6325"/>
    <w:rsid w:val="0020245C"/>
    <w:rsid w:val="002102A4"/>
    <w:rsid w:val="002214D8"/>
    <w:rsid w:val="0025082C"/>
    <w:rsid w:val="00254852"/>
    <w:rsid w:val="00255299"/>
    <w:rsid w:val="00274921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23864"/>
    <w:rsid w:val="0032394E"/>
    <w:rsid w:val="003264DE"/>
    <w:rsid w:val="00326B04"/>
    <w:rsid w:val="00330780"/>
    <w:rsid w:val="00330C8B"/>
    <w:rsid w:val="003340A4"/>
    <w:rsid w:val="00335A52"/>
    <w:rsid w:val="00356BDA"/>
    <w:rsid w:val="00357A6B"/>
    <w:rsid w:val="0036410B"/>
    <w:rsid w:val="00364BEB"/>
    <w:rsid w:val="003656C6"/>
    <w:rsid w:val="00370AA5"/>
    <w:rsid w:val="00373DFE"/>
    <w:rsid w:val="00386675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6F15"/>
    <w:rsid w:val="004273D0"/>
    <w:rsid w:val="0042779F"/>
    <w:rsid w:val="004352A9"/>
    <w:rsid w:val="00440349"/>
    <w:rsid w:val="00441280"/>
    <w:rsid w:val="0044530C"/>
    <w:rsid w:val="00453D17"/>
    <w:rsid w:val="0046400A"/>
    <w:rsid w:val="00464085"/>
    <w:rsid w:val="004652D9"/>
    <w:rsid w:val="00465E99"/>
    <w:rsid w:val="00475BE2"/>
    <w:rsid w:val="00484793"/>
    <w:rsid w:val="00491FF9"/>
    <w:rsid w:val="004A0AF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9A8"/>
    <w:rsid w:val="004F3FE9"/>
    <w:rsid w:val="004F6559"/>
    <w:rsid w:val="0050022E"/>
    <w:rsid w:val="00500DE5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65F1"/>
    <w:rsid w:val="00567317"/>
    <w:rsid w:val="005724B9"/>
    <w:rsid w:val="005A0268"/>
    <w:rsid w:val="005A0954"/>
    <w:rsid w:val="005B667B"/>
    <w:rsid w:val="005C4019"/>
    <w:rsid w:val="005C75DE"/>
    <w:rsid w:val="005D0C5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D09"/>
    <w:rsid w:val="00686752"/>
    <w:rsid w:val="00691836"/>
    <w:rsid w:val="0069357B"/>
    <w:rsid w:val="00697B7C"/>
    <w:rsid w:val="00697FD9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6CE4"/>
    <w:rsid w:val="00717A6D"/>
    <w:rsid w:val="00724703"/>
    <w:rsid w:val="00735E9D"/>
    <w:rsid w:val="00737435"/>
    <w:rsid w:val="00741ABD"/>
    <w:rsid w:val="00746FC8"/>
    <w:rsid w:val="007570C1"/>
    <w:rsid w:val="007578BE"/>
    <w:rsid w:val="00781EB6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7E6A8F"/>
    <w:rsid w:val="00816C4D"/>
    <w:rsid w:val="00820C9A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2946"/>
    <w:rsid w:val="0089558E"/>
    <w:rsid w:val="008974EB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09B2"/>
    <w:rsid w:val="008F5142"/>
    <w:rsid w:val="008F7A18"/>
    <w:rsid w:val="009054D4"/>
    <w:rsid w:val="00913D77"/>
    <w:rsid w:val="009167A0"/>
    <w:rsid w:val="009200A2"/>
    <w:rsid w:val="009329FB"/>
    <w:rsid w:val="00932F9B"/>
    <w:rsid w:val="00945F33"/>
    <w:rsid w:val="00947152"/>
    <w:rsid w:val="00956104"/>
    <w:rsid w:val="00960397"/>
    <w:rsid w:val="00975511"/>
    <w:rsid w:val="009837DF"/>
    <w:rsid w:val="009855BF"/>
    <w:rsid w:val="009932CA"/>
    <w:rsid w:val="009A59C2"/>
    <w:rsid w:val="009A7654"/>
    <w:rsid w:val="009B01F9"/>
    <w:rsid w:val="009B09CB"/>
    <w:rsid w:val="009C02DA"/>
    <w:rsid w:val="009C1AFB"/>
    <w:rsid w:val="009D738F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D7D91"/>
    <w:rsid w:val="00AE00D6"/>
    <w:rsid w:val="00AE2158"/>
    <w:rsid w:val="00AF0195"/>
    <w:rsid w:val="00AF0CAB"/>
    <w:rsid w:val="00B00632"/>
    <w:rsid w:val="00B073A2"/>
    <w:rsid w:val="00B120D5"/>
    <w:rsid w:val="00B13FB6"/>
    <w:rsid w:val="00B14C29"/>
    <w:rsid w:val="00B16746"/>
    <w:rsid w:val="00B170E8"/>
    <w:rsid w:val="00B17DFA"/>
    <w:rsid w:val="00B27B8F"/>
    <w:rsid w:val="00B3769E"/>
    <w:rsid w:val="00B42611"/>
    <w:rsid w:val="00B63531"/>
    <w:rsid w:val="00B6543F"/>
    <w:rsid w:val="00B667FB"/>
    <w:rsid w:val="00B7008A"/>
    <w:rsid w:val="00B717B3"/>
    <w:rsid w:val="00B762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45F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91B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5C6"/>
    <w:rsid w:val="00E30B22"/>
    <w:rsid w:val="00E3798A"/>
    <w:rsid w:val="00E42835"/>
    <w:rsid w:val="00E460F3"/>
    <w:rsid w:val="00E50177"/>
    <w:rsid w:val="00E5027B"/>
    <w:rsid w:val="00E549E0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44F96"/>
    <w:rsid w:val="00F512E2"/>
    <w:rsid w:val="00F51E5E"/>
    <w:rsid w:val="00F64B32"/>
    <w:rsid w:val="00F70627"/>
    <w:rsid w:val="00F70C4B"/>
    <w:rsid w:val="00F75AA8"/>
    <w:rsid w:val="00F76B05"/>
    <w:rsid w:val="00F808C0"/>
    <w:rsid w:val="00F83712"/>
    <w:rsid w:val="00F84AC0"/>
    <w:rsid w:val="00F859B1"/>
    <w:rsid w:val="00F85CA3"/>
    <w:rsid w:val="00F95C77"/>
    <w:rsid w:val="00FA672D"/>
    <w:rsid w:val="00FB1930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618427-CCAD-4321-80A6-5E86855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738F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335A5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35A5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notaalpie">
    <w:name w:val="footnote reference"/>
    <w:uiPriority w:val="99"/>
    <w:semiHidden/>
    <w:unhideWhenUsed/>
    <w:rsid w:val="009B0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A6F5-B3FE-4A85-A9C7-BE9E73EC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5</TotalTime>
  <Pages>7</Pages>
  <Words>2542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16496</CharactersWithSpaces>
  <SharedDoc>false</SharedDoc>
  <HLinks>
    <vt:vector size="42" baseType="variant">
      <vt:variant>
        <vt:i4>4653083</vt:i4>
      </vt:variant>
      <vt:variant>
        <vt:i4>18</vt:i4>
      </vt:variant>
      <vt:variant>
        <vt:i4>0</vt:i4>
      </vt:variant>
      <vt:variant>
        <vt:i4>5</vt:i4>
      </vt:variant>
      <vt:variant>
        <vt:lpwstr>https://books.google.com.mx/books?id=BhymmEqkkJwC&amp;printsec=frontcover&amp;hl=es</vt:lpwstr>
      </vt:variant>
      <vt:variant>
        <vt:lpwstr>v=onepage&amp;q&amp;f=false</vt:lpwstr>
      </vt:variant>
      <vt:variant>
        <vt:i4>5701672</vt:i4>
      </vt:variant>
      <vt:variant>
        <vt:i4>15</vt:i4>
      </vt:variant>
      <vt:variant>
        <vt:i4>0</vt:i4>
      </vt:variant>
      <vt:variant>
        <vt:i4>5</vt:i4>
      </vt:variant>
      <vt:variant>
        <vt:lpwstr>https://competenciashg.files.wordpress.com/2012/10/sampieri-et-al-metodologia-de-la-investigacion-4ta-edicion-sampieri-2006_ocr.pdf</vt:lpwstr>
      </vt:variant>
      <vt:variant>
        <vt:lpwstr/>
      </vt:variant>
      <vt:variant>
        <vt:i4>4653083</vt:i4>
      </vt:variant>
      <vt:variant>
        <vt:i4>12</vt:i4>
      </vt:variant>
      <vt:variant>
        <vt:i4>0</vt:i4>
      </vt:variant>
      <vt:variant>
        <vt:i4>5</vt:i4>
      </vt:variant>
      <vt:variant>
        <vt:lpwstr>https://books.google.com.mx/books?id=BhymmEqkkJwC&amp;printsec=frontcover&amp;hl=es</vt:lpwstr>
      </vt:variant>
      <vt:variant>
        <vt:lpwstr>v=onepage&amp;q&amp;f=false</vt:lpwstr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http://www.ccpm.org.mx/avisos/Dictamen Edos. Financieros y Dictamen Fiscal.pdf</vt:lpwstr>
      </vt:variant>
      <vt:variant>
        <vt:lpwstr/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http://www.ascm.gob.mx/Atlas/Atlas.php</vt:lpwstr>
      </vt:variant>
      <vt:variant>
        <vt:lpwstr/>
      </vt:variant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http://www.asf.gob.mx/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http://www2.scjn.gob.mx/red/constitucion/TI.html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4</cp:revision>
  <cp:lastPrinted>2016-05-03T22:15:00Z</cp:lastPrinted>
  <dcterms:created xsi:type="dcterms:W3CDTF">2016-09-22T13:50:00Z</dcterms:created>
  <dcterms:modified xsi:type="dcterms:W3CDTF">2016-09-22T13:57:00Z</dcterms:modified>
</cp:coreProperties>
</file>